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7D" w:rsidRPr="00A46C7D" w:rsidRDefault="00A46C7D" w:rsidP="00A46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0;height:.75pt" o:hralign="center" o:hrstd="t" o:hrnoshade="t" o:hr="t" fillcolor="#aca899" stroked="f"/>
        </w:pic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549"/>
      </w:tblGrid>
      <w:tr w:rsidR="00A46C7D" w:rsidRPr="00A46C7D" w:rsidTr="00A46C7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0"/>
              <w:gridCol w:w="9"/>
            </w:tblGrid>
            <w:tr w:rsidR="00A46C7D" w:rsidRPr="00A46C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6C7D" w:rsidRPr="00A46C7D" w:rsidRDefault="00A46C7D" w:rsidP="00A46C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4" w:history="1">
                    <w:r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24"/>
                        <w:szCs w:val="24"/>
                        <w:lang w:eastAsia="ru-RU"/>
                      </w:rPr>
                      <w:drawing>
                        <wp:anchor distT="0" distB="0" distL="0" distR="0" simplePos="0" relativeHeight="251658240" behindDoc="0" locked="0" layoutInCell="1" allowOverlap="0">
                          <wp:simplePos x="0" y="0"/>
                          <wp:positionH relativeFrom="column">
                            <wp:align>left</wp:align>
                          </wp:positionH>
                          <wp:positionV relativeFrom="line">
                            <wp:posOffset>0</wp:posOffset>
                          </wp:positionV>
                          <wp:extent cx="2857500" cy="476250"/>
                          <wp:effectExtent l="19050" t="0" r="0" b="0"/>
                          <wp:wrapSquare wrapText="bothSides"/>
                          <wp:docPr id="1" name="Рисунок 2" descr="http://img.rg.ru/img/rg_logo_bw.gif">
                            <a:hlinkClick xmlns:a="http://schemas.openxmlformats.org/drawingml/2006/main" r:id="rId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://img.rg.ru/img/rg_logo_bw.gif">
                                    <a:hlinkClick r:id="rId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A46C7D" w:rsidRPr="00A46C7D" w:rsidRDefault="00A46C7D" w:rsidP="00A46C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6C7D" w:rsidRPr="00A46C7D" w:rsidRDefault="00A46C7D" w:rsidP="00A4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C7D" w:rsidRPr="00A46C7D" w:rsidTr="00A46C7D">
        <w:trPr>
          <w:trHeight w:val="60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p w:rsidR="00A46C7D" w:rsidRPr="00A46C7D" w:rsidRDefault="00A46C7D" w:rsidP="00A46C7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38100"/>
                  <wp:effectExtent l="0" t="0" r="0" b="0"/>
                  <wp:docPr id="2" name="Рисунок 2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C7D" w:rsidRPr="00A46C7D" w:rsidTr="00A46C7D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46C7D" w:rsidRPr="00A46C7D" w:rsidRDefault="00A46C7D" w:rsidP="00A46C7D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C7D" w:rsidRPr="00A46C7D" w:rsidTr="00A46C7D">
        <w:trPr>
          <w:trHeight w:val="120"/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46C7D" w:rsidRPr="00A46C7D" w:rsidRDefault="00A46C7D" w:rsidP="00A46C7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C7D" w:rsidRPr="00A46C7D" w:rsidTr="00A46C7D">
        <w:trPr>
          <w:tblCellSpacing w:w="0" w:type="dxa"/>
          <w:jc w:val="center"/>
        </w:trPr>
        <w:tc>
          <w:tcPr>
            <w:tcW w:w="0" w:type="auto"/>
            <w:hideMark/>
          </w:tcPr>
          <w:p w:rsidR="00A46C7D" w:rsidRPr="00A46C7D" w:rsidRDefault="00A46C7D" w:rsidP="00A46C7D">
            <w:pPr>
              <w:spacing w:before="45" w:after="1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Опубликовано 24 апреля 2012 г.</w:t>
            </w:r>
          </w:p>
          <w:p w:rsidR="00A46C7D" w:rsidRPr="00A46C7D" w:rsidRDefault="00A46C7D" w:rsidP="00A4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rect id="_x0000_i1029" style="width:0;height:.75pt" o:hralign="center" o:hrstd="t" o:hrnoshade="t" o:hr="t" fillcolor="#aca899" stroked="f"/>
              </w:pict>
            </w:r>
          </w:p>
          <w:p w:rsidR="00A46C7D" w:rsidRPr="00A46C7D" w:rsidRDefault="00A46C7D" w:rsidP="00A46C7D">
            <w:pPr>
              <w:spacing w:before="100" w:beforeAutospacing="1" w:after="45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46C7D">
              <w:rPr>
                <w:rFonts w:ascii="Verdana" w:eastAsia="Times New Roman" w:hAnsi="Verdana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Распоряжение Правительства Российской Федерации от 17 апреля 2012 г. N 506-р г. Москва "Об утверждении Концепции государственной молодежной политики в субъектах Российской Федерации, входящих в </w:t>
            </w:r>
            <w:proofErr w:type="spellStart"/>
            <w:r w:rsidRPr="00A46C7D">
              <w:rPr>
                <w:rFonts w:ascii="Verdana" w:eastAsia="Times New Roman" w:hAnsi="Verdana" w:cs="Arial"/>
                <w:b/>
                <w:bCs/>
                <w:color w:val="000000"/>
                <w:sz w:val="26"/>
                <w:szCs w:val="26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Verdana" w:eastAsia="Times New Roman" w:hAnsi="Verdana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федеральный округ, до 2025 года"</w:t>
            </w:r>
          </w:p>
        </w:tc>
      </w:tr>
      <w:tr w:rsidR="00A46C7D" w:rsidRPr="00A46C7D" w:rsidTr="00A46C7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46C7D" w:rsidRPr="00A46C7D" w:rsidRDefault="00A46C7D" w:rsidP="00A46C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 Утвердить прилагаемую Концепцию государственной молодежной политики в субъектах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до 2025 года.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2. Рекомендовать федеральным органам исполнительной власти и органам исполнительной власти субъектов Российской Федерации при осуществлении своей деятельности руководствоваться положениями Концепции, утвержденной настоящим распоряжением.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Председатель</w:t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Правительства Российской Федерации</w:t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В. Путин</w:t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 Прим. </w:t>
            </w:r>
            <w:proofErr w:type="spellStart"/>
            <w:proofErr w:type="gramStart"/>
            <w:r w:rsidRPr="00A46C7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ред</w:t>
            </w:r>
            <w:proofErr w:type="spellEnd"/>
            <w:proofErr w:type="gramEnd"/>
            <w:r w:rsidRPr="00A46C7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: текст распоряжения опубликован в "Собрании законодательства РФ", 23.04.2012, N 17, ст. 2062.</w:t>
            </w:r>
          </w:p>
          <w:p w:rsidR="00A46C7D" w:rsidRPr="00A46C7D" w:rsidRDefault="00A46C7D" w:rsidP="00A46C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46C7D" w:rsidRPr="00A46C7D" w:rsidRDefault="00A46C7D" w:rsidP="00A46C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6C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Концепция государственной молодежной политики в субъектах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федеральный округ, до 2025 года</w:t>
            </w:r>
          </w:p>
          <w:p w:rsidR="00A46C7D" w:rsidRPr="00A46C7D" w:rsidRDefault="00A46C7D" w:rsidP="00A46C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I. </w:t>
            </w:r>
            <w:proofErr w:type="gramStart"/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Общие положения</w:t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Концепция государственной молодежной политики в субъектах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 (далее - Концепция), разработана в целях реализации Стратегии социально-экономического развития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федерального округа до 2025 года, утвержденной распоряжением Правительства Российской Федерации от 6 сентября 2010 г. N 1485-р, с учетом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 17 ноября 2008 г. N 1662-р, и Стратегии государственной молодежной политики в Российской Федерации, утвержденной распоряжением Правительства Российской Федерации от 18 декабря 2006 г. N 1760-р.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Концепция служит основой для организации работы органов государственной власти и местного самоуправления при решении вопросов, связанных с реализацией государственной молодежной политики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федеральном округе.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Координация мероприятий по реализации Концепции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молодежной политики.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II. Особенности положения молодежи и состояние государственной молодежной политики в </w:t>
            </w:r>
            <w:proofErr w:type="spellStart"/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федеральном округе</w:t>
            </w:r>
            <w:proofErr w:type="gramStart"/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 данным Всероссийской переписи населения 2010 года,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федеральном округе проживало 2,8 млн. молодых людей в возрасте от 14 до 30 лет, что составляет 30,5 процента общего числа жителей и является одним из самых высоких показателей в Российской Федерации. В целом по стране средняя доля молодежи в структуре численности населения не превышает 25,4 процента.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Этот фактор оказывает значительное влияние на социально-экономическое развитие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федерального округа и, с одной стороны, требует принятия комплекса дополнительных мер в экономике, в социальной, образовательной сферах, а также в сфере государственной молодежной политики, с другой стороны, он может стать значительным конкурентным преимуществом данного региона при условии рационального использования трудовых ресурсов и инновационного потенциала молодежи.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Данные социологических исследований показывают, что молодежь Северного Кавказа в настоящее время не удовлетворена своим положением, уровнем защиты своих прав и законных интересов, не уверена в будущем. К числу наиболее актуальных проблем молодые люди относят безработицу, коррупцию, рост преступности, распространение наркомании, алкоголизма, необеспеченность жильем, рост цен и инфляцию, межэтнические противоречия, уровень культуры и нравственности людей. На первое место молодежь ставит проблемы экономического характера и социально-экономической политики в целом. Не удовлетворены своим материальным положением более половины респондентов.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Вместе с тем для части молодежи характерны наряду с правовым нигилизмом и политической индифферентностью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амбициозность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жизненных целей и планов, завышенный уровень ожиданий и притязаний.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Проблемы молодежи осложняются тем, что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 относится к числу наименее экономически развитых. По основным социально-экономическим показателям и уровню развития экономики округ заметно отстает от других федеральных округов. При этом ситуация в отдельных субъектах Российской Федерации, находящихся в пределах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федерального округа, существенно различается как из-за особенностей традиционного уклада, так и в связи с различной природой межэтнических, межрелигиозных и межконфессиональных проблем.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Молодежь в силу низкого социального статуса, недостаточного уровня образования, отсутствия социальных навыков и профессионального опыта оказывается наиболее незащищенной группой населения, нуждающейся в целенаправленной государственной поддержке в условиях, характеризующихся высоким уровнем безработицы, сложной </w:t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криминогенной обстановкой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напряженной этнополитической ситуацией.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Актуальной проблемой становится обособленность молодежи от жизни страны в целом, ее замкнутость внутри этнических общностей. Вследствие этого молодые люди, будучи восприимчивыми к радикальным взглядам и моделям поведения как способу решения своих проблем, могут стать объектами воздействия со стороны националистических и религиозных экстремистов, стремящихся сформировать негативное отношение к представителям других этнических групп. В то же время опыт проведения межрегиональных и всероссийских мероприятий показывает стремление молодежи Северного Кавказа к интеграции в жизнь страны, межрегиональному и межкультурному взаимодействию и сотрудничеству.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В этих условиях эффективная государственная молодежная политика становится одним из определяющих факторов повышения стабильности политической и социально-экономической обстановки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федеральном округе.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Реализация государственной молодежной политики в субъектах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возложена на органы по делам молодежи. Число работников этих органов различно. Причем в отдельных регионах на одного сотрудника органа по делам 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молодежи приходится до 8-9 тысяч молодых людей в возрасте от 14 до 30 лет, тогда как в среднем по России этот показатель не превышает 3 тысяч.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Организацию работы с молодежью в субъектах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обеспечивает 21 региональное учреждение органов по делам молодежи. В ряде регионов такие учреждения отсутствуют вообще, а материально-техническая база действующих учреждений значительно устарела, не соответствует потребностям молодежи и существенно ограничивает возможность приобретения ею актуальных навыков и компетенций.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Вовлечение молодежи в социальную практику обеспечивается в значительной мере через ее участие в работе молодежных общественных объединений. На территории округа работает более 150 молодежных объединений различной направленности, в деятельности которых принимает участие 652 тыс. человек (23,3 процента молодежи). Данный показатель соответствует среднему по Российской Федерации. Вместе с тем в большинстве субъектов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не разработаны нормативные правовые акты и механизмы государственной поддержки инициатив общественных молодежных объединений.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Доля средств, выделяемых из бюджетов субъектов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на реализацию государственной молодежной политики, в большинстве субъектов ниже, чем в среднем по России, а в отдельных - ниже аналогичного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среднероссийского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показателя в десятки раз.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Оценка современной ситуации позволяет сделать вывод о необходимости выработки нового стратегического подхода к реализации государственной молодежной политики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федеральном округе, который должен предусматривать создание условий для социализации молодежи Северного Кавказа, развития ее творческого и интеллектуального потенциала, интеграции в жизнь страны.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Необходимыми условиями для повышения эффективности государственной молодежной политики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федеральном округе являются совершенствование ее кадрового, научно-методического, нормативно-правового, информационного и финансового обеспечения, а также формирование инфраструктуры, соответствующей уровню и сложности стоящих перед отраслью задач.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III. </w:t>
            </w:r>
            <w:proofErr w:type="gramStart"/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 и принципы государственной молодежной политики в </w:t>
            </w:r>
            <w:proofErr w:type="spellStart"/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федеральном округе</w:t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Целью государственной молодежной политики в субъектах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является создание правовых, экономических и организационных условий для гармоничного развития, эффективной социализации, успешной самореализации, формирования общероссийской гражданской идентичности молодежи, реализации ее инновационного потенциала в интересах устойчивого развития России.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Достижение указанной цели в значительной мере зависит от успешного решения задач социально-экономического развития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федерального округа в целом, включая обеспечение стабильного экономического роста, повышения благосостояния населения, развития человеческого капитала, повышения уровня образования и правового просвещения граждан, формирования социальной инфраструктуры, отвечающей потребностям населения.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Государственная молодежная политика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федеральном округе должна строиться исходя из следующих принципов: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участие молодежи и институтов гражданского общества в формировании и реализации государственной молодежной политики;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адресность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индивидуальный подход, предполагающий учет особенностей каждой возрастной, социальной, профессиональной, этнической групп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приоритет интересов, потребностей молодежи и учет ее мнения при 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разработке и реализации региональных комплексных и отраслевых программ социально-экономического развития;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межведомственный подход в реализации государственной молодежной политики на всех уровнях государственной власти;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информационная открытость и независимость оценки результатов реализации государственной молодежной политики.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IV. Основные направления государственной молодежной политики в </w:t>
            </w:r>
            <w:proofErr w:type="spellStart"/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федеральном округе</w:t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ля достижения цели государственной молодежной политики необходимо обеспечить реализацию мероприятий по следующим основным направлениям государственной молодежной политики: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духовно-нравственное развитие и гражданское образование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вовлечение молодежи в социальную практику;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поддержка инициативной и талантливой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поддержка молодежи, находящейся в трудной жизненной ситуации.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Мероприятия по духовно-нравственному развитию и гражданскому образованию молодежи включают в себя: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воспитание гражданственности и патриотизма, в том числе: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проведение мероприятий по гражданскому образованию, патриотическому и интернациональному воспитанию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привлечение авторитетных религиозных лидеров к участию в работе по духовно-нравственному воспитанию молодежи и пропаганде семейных ценностей;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воспитание патриотизма и интернационализма в процессе изучения героических страниц истории, пропаганду достижений российской науки, культуры и государственности, отечественного спорта, трудовых свершений граждан Российской Федерации и подвигов защитников Отечества;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пропаганду государственных символов Российской Федерации;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оказание государственной поддержки инициативам общественных объединений, направленным на патриотическое воспитание граждан Российской Федерации;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проведение региональных научно-практических конференций, семинаров, круглых столов по обмену опытом работы с участием патриотических организаций;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поисковой работы, развитие движения постов N 1 и деятельности по увековечению памяти воинов, погибших при защите Отечества;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создание, развитие и поддержку клубов и объединений патриотической направленности;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развитие внутреннего туризма, организацию посещения молодежью городов-героев и городов воинской славы в других субъектах Российской Федерации;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воспитание культуры межнационального общения, интеграцию молодежи в общероссийское политико-экономическое и социально-культурное пространство, в том числе: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обеспечение участия молодежи в региональных, межрегиональных и общероссийских мероприятиях, проводимых в других регионах страны, содействие межрегиональному и межкультурному диалогу;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организацию участия молодежи из других российских регионов в региональных и межрегиональных мероприятиях, проводимых на территории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федерального округа;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проведение на территории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федерального округа общероссийских и межрегиональных массовых мероприятий в сфере молодежной политики (творческих фестивалей, конкурсов, слетов, выставок и т. п.), а также мероприятий, направленных на формирование толерантности и культуры межэтнического общения, профилактику этнического и религиозно-политического экстремизма, поддержку межрелигиозного и межкультурного диалога в молодежной среде;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межрегиональных молодежных обменов для молодежи и стажировок для специалистов органов по делам молодежи, сотрудников государственных и муниципальных учреждений, лидеров молодежных и детских общественных объединений;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организацию участия молодежи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федерального округа в международных молодежных обменах;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формирование здорового образа жизни и организацию досуга молодежи, в том числе: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бесплатных спортивных секций, кружков художественного и технического творчества, объединений по интересам по месту жительства на базе учреждений органов по делам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участия молодежи в массовых физкультурно-спортивных мероприятиях;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спортивных соревнований, в том числе по национальным видам спорта;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формирование и поддержку деятельности молодежного волонтерского движения по пропаганде здорового образа жизни;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формирование и поддержку деятельности региональных и местных советов спортивных болельщиков;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взаимодействия с неформальными молодежными объединениями и вовлечение их участников в социально-значимую деятельность.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Мероприятия по вовлечению молодежи в социальную практику включают в себя: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содействие занятости молодежи, развитие эффективных моделей и форм вовлечения молодежи в трудовую и экономическую деятельность, в том числе: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организацию деятельности специализированных организаций по трудоустройству молодежи (молодежных бирж труда, центров трудоустройства выпускников, штабов студенческих отрядов, </w:t>
            </w:r>
            <w:proofErr w:type="spellStart"/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бизнес-инкубаторов</w:t>
            </w:r>
            <w:proofErr w:type="spellEnd"/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развитие системы профессиональной ориентации молодежи, включая ознакомление с перспективами трудоустройства по выбираемой специальности и условиями работы на предприятиях и в организациях, а также проведение информационно-пропагандистских кампаний по повышению престижа рабочих профессий и профессионального мастерства с использованием средств массовой информации и современных информационных технологий;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временной и сезонной занятости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создание условий и стимулов для трудоустройства молодых специалистов;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создание условий для вовлечения молодежи в предпринимательскую деятельность (информирование о программах поддержки и развития малого бизнеса, организация обучения основам предпринимательской деятельности, оказание финансовой и иной поддержки предприятиям, созданным молодыми людьми);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создание и поддержку деятельности молодежных, студенческих отрядов, 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организацию их работы на строительных объектах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федеральном округе;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участия региональных студенческих отрядов во всероссийских студенческих стройках, а также в других субъектах Российской Федерации;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формирование и поддержку деятельности добровольных молодежных дружин и отрядов правопорядка;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создание условий для вовлечения молодежи в волонтерскую деятельность, обучение и подготовку волонтеров, а также использование их труда в целях социально-экономического развития округа;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содействие обеспечению молодежи доступным жильем, в том числе: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информирование молодежи о возможностях улучшения жилищных условий и механизмах реализации подпрограмм по обеспечению жильем молодых семей, молодых ученых и специалистов, молодых специалистов, работающих в сельской местности, в рамках федеральной целевой программы "Жилище" на 2011-2015 годы, отраслевых и региональных целевых программ;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разработку и развитие новых форм обеспечения молодежи доступным жильем (социальные выплаты на строительство или приобретение жилья, субсидирование процентной ставки по ипотечному кредиту, организация молодежных жилых комплексов и др.);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поддержку деятельности молодежных и детских общественных объединений, в том числе: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вовлечение молодежи в деятельность молодежных и детских общественных объединений, развитие различных форм ученического и студенческого самоуправления;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формирование региональных реестров молодежных и детских общественных объединений, пользующихся государственной поддержкой; 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оказание государственной поддержки зарегистрированным в установленном порядке общественным объединениям, входящим в федеральный и региональный реестры молодежных и детских объединений, в том числе в форме субсидий на реализацию проектов в сфере государственной молодежной политики;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оказание содействия в деятельности региональных отделений и филиалов общероссийских и межрегиональных молодежных и детских общественных объединений;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обучения и повышения квалификации молодых лидеров, руководителей и актива молодежных и детских общественных объединений;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стажировок лидеров молодежных и детских общественных объединений в органах государственной власти субъектов Российской Федерации, органах местного самоуправления, государственных и иных учреждениях и организациях;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обеспечение участия лидеров молодежных и детских общественных объединений в общероссийских и межрегиональных мероприятиях, а также в мероприятиях в сфере государственной молодежной политики других субъектов Российской Федерации;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формирование консультативно-совещательных органов с участием представителей молодежи, молодежных и детских общественных объединений при исполнительных и законодательных органах государственной власти.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Мероприятия по поддержке инициативной и талантливой молодежи включают в себя: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разработку и внедрение механизмов выявления, поддержки и сопровождения талантливой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создание баз данных талантливой молодежи и молодых ученых;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создание и поддержку центров научно-технического творчества молодежи, стимулирование инновационной деятельности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формирование и поддержку деятельности советов молодых ученых и специалистов, в том числе создание студенческих научных обществ;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проведение региональных этапов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молодежного форума "Машук";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организацию участия молодежи округа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Северо-Кавказском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молодежном форуме "Машук" и общероссийских молодежных образовательных форумах;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участия учащейся молодежи во всероссийских олимпиадах и творческих конкурсах.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Мероприятия по поддержке молодежи, находящейся в трудной жизненной ситуации, включают в себя: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профилактику правонарушений в молодежной среде;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организацию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антинаркотической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пропаганды среди молодежи и развитие системы социальной адаптации;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создание постоянных специализированных рабочих мест для трудоустройства лиц, совершивших правонарушение или преступление, а также возвратившихся из мест лишения свободы;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создание и развитие социальных служб для воспитательного сопровождения лиц, склонных к совершению правонарушений либо совершивших правонарушения;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проведение индивидуальной профилактической и воспитательной работы с лицами, склонными к совершению преступлений и правонарушений;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обеспечение доступности государственных услуг, оказываемых учреждениями органов по делам молодежи, в том числе для лиц с ограниченными возможностями здоровья;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консультационных услуг для молодежи, в том числе с использованием современных информационных технологий;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создание и сопровождение базы данных лиц, находящихся в трудной жизненной ситуации, с целью мониторинга и оказания своевременной помощи.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V. Механизмы реализации Концепции</w:t>
            </w:r>
            <w:proofErr w:type="gramStart"/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ля реализации Концепции необходимо осуществить систему мер, направленных на совершенствование правового, кадрового, научно-методического, информационного и финансового обеспечения государственной молодежной политики субъектами Российской Федерации, входящими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Нормативное правовое обеспечение предусматривает внесение изменений в региональные нормативные правовые акты, комплексные и отраслевые программы социально-экономического развития субъектов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в целях реализации положений Концепции, а также учет положений Концепции при принятии региональных нормативных правовых актов, утверждении региональных государственных программ субъектов Российской Федерации, комплексных планов и перечней мероприятий.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Кадровое и научно-методическое обеспечение предусматривает реализацию мер по организации профессиональной переподготовки и повышению квалификации руководителей и специалистов органов государственной власти субъектов Российской Федерации, органов местного 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самоуправления государственных и муниципальных учреждений, к компетенции которых относятся вопросы реализации государственной молодежной политики, формирование кадрового резерва.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Информационное обеспечение предусматривает: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осуществление мониторинга хода реализации государственной молодежной политики и подготовку ежегодного доклада о положении молодежи в субъекте Российской Федерации, включая сбор и анализ информации по основным направлениям молодежной политики;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издания информационных, методических и исследовательских материалов для молодежи и специалистов, работающих с молодежью;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производства и трансляции теле- и радиопередач по молодежной тематике;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поддержки и развития системы информационных ресурсов в сети Интернет, освещающих вопросы молодежной политики;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размещения социальной рекламы молодежных программ и услуг для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реализацию мер по популяризации достижений молодежи и формированию положительного образа Северного Кавказа.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Финансовое обеспечение включает в себя: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финансовое обеспечение реализуемых в соответствии с Концепцией федеральными органами исполнительной власти на территории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федерального округа мероприятий, которые осуществляются в пределах бюджетных ассигнований, предусмотренных федеральным законом о федеральном бюджете на соответствующий финансовый год и плановый период;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финансовое обеспечение реализуемых в соответствии с Концепцией органами государственной власти субъектов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мероприятий, которые осуществляются за счет бюджетных ассигнований, предусмотренных законами о бюджетах субъектов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на соответствующий финансовый год, в том числе на основании региональных государственных программ, направленных на реализацию государственной молодежной политики.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VI. Ожидаемые результаты</w:t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Реализация Концепции должна обеспечить совершенствование системы работы с молодежью в субъектах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формирование современной инфраструктуры и повышение доли бюджетных средств, выделяемых на ее осуществление.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Оценка хода реализации Концепции производится на основании целевых показателей результативности, устанавливаемых региональными нормативными правовыми актами, последовательное и поэтапное достижение которых должно привести к следующим результатам: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снижение уровня безработицы среди молодежи трудоспособного возраста и сокращение </w:t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доли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не работающей и не учащейся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сокращение количества правонарушений и преступлений, совершаемых молодежью;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снижение доли несовершеннолетних, состоящих на всех видах учета (несовершеннолетние, состоящие на учете в подразделениях по делам несовершеннолетних органов внутренних дел, комиссиях по делам несовершеннолетних и защите их прав, наркологических диспансерах), в общей численности несовершеннолетних;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увеличение доли молодежи, вовлеченной в позитивную социально-культурную деятельность и волонтерские программы, в общей численности населения в данной возрастной группе;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увеличение численности молодежи, систематически занимающейся физической культурой и спортом;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увеличение численности молодежи, участвующей в деятельности молодежных и детских общественных объединений;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увеличение численности молодежи, участвующей в мероприятиях научно-технической направленности;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увеличение численности молодежи, участвующей в проектах и программах в сфере поддержки талантливой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увеличение численности молодежи, участвующей в деятельности студенческих отрядов;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увеличение численности молодежи, вовлеченной в предпринимательскую деятельность;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увеличение количества субъектов малого предпринимательства за счет предприятий, созданных молодыми людьми, получившими финансовую и иную поддержку;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увеличение численности молодых граждан, обеспеченных жильем в рамках реализации государственных программ;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увеличение численности молодежи в региональных законодательных и исполнительных органах государственной власти, органах местного самоуправления и их учреждениях;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увеличение численности молодежи, принимающей участие в межрегиональных и международных молодежных обменах, во всероссийских и межрегиональных мероприятиях в сфере молодежной политики;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увеличение численности молодежи из других российских регионов, принимающих участие в мероприятиях, проводимых на территории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Северо-Кавказского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федерального округа.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VII. Этапы реализации Концепции</w:t>
            </w:r>
            <w:r w:rsidRPr="00A46C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Концепция реализуется в 2 этапа.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 первом этапе реализации Концепции (2012-2014 годы) предусматривается осуществить: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внесение изменений в нормативные правовые акты, региональные комплексные и отраслевые программы социально-экономического развития субъектов Российской Федерации, входящих в </w:t>
            </w:r>
            <w:proofErr w:type="spell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Северо-Кавказский</w:t>
            </w:r>
            <w:proofErr w:type="spell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федеральный округ, в целях реализации положений Концепции, а также обеспечения защиты законных прав, интересов и потребностей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разработку и утверждение региональных целевых и государственных программ, комплексных планов и перечней мероприятий, направленных на реализацию основных направлений государственной молодежной политики, определенных в Концепции;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разработку и утверждение региональными нормативными правовыми актами значений целевых показателей результативности по основным направлениям государственной молодежной политики;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научно-исследовательские работы в сфере молодежной политики, мониторинга положения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разработку стандартов оказания услуг учреждениями органов по делам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обобщение и распространение лучшего опыта учреждений органов по делам молодежи, нормативное закрепление их правового статуса, создание и развитие востребованных молодежью социальных служб и учреждений;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организацию обучения кадров в сфере молодежной политики.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результате реализации мероприятий первого этапа предполагается: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модернизировать не менее 40 процентов действующих учреждений органов по делам молодежи;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обеспечить внедрение программ по работе с молодежью, оказавшейся в трудной жизненной ситуации;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увеличить до 12 процентов долю молодых людей, принимающих участие в волонтерской деятельности;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обеспечить вовлечение в проекты и программы в сфере поддержки талантливой молодежи не менее 22 процентов молодых людей;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увеличить не менее чем в 2 раза по сравнению с 2010 годом численность молодежи, принимающей участие в межрегиональных и международных молодежных обменах, во всероссийских и межрегиональных мероприятиях в сфере государственной молодежной политики.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 втором этапе реализации Концепции (2015-2025 годы) предусматривается осуществить: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оценку результатов мероприятий первого этапа реализации Концепции;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обновление приоритетов государственной молодежной политики и определение групп молодежи, требующих особого внимания, с учетом социально-экономического развития страны;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корректировку значений целевых показателей результативности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молодежной политики;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мониторинг ситуации в молодежной среде и корректировку реализуемых программ;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внедрение результатов научно-исследовательских разработок;</w:t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разработку дополнительных программных документов, направленных на нормативно-правовое, организационное и экономическое обеспечение государственной молодежной политики;</w:t>
            </w:r>
            <w:proofErr w:type="gramEnd"/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46C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формирование единого информационного пространства для молодежи. </w:t>
            </w:r>
          </w:p>
        </w:tc>
      </w:tr>
      <w:tr w:rsidR="00A46C7D" w:rsidRPr="00A46C7D" w:rsidTr="00A46C7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46C7D" w:rsidRPr="00A46C7D" w:rsidRDefault="00A46C7D" w:rsidP="00A4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pict>
                <v:rect id="_x0000_i1030" style="width:0;height:.75pt" o:hralign="center" o:hrstd="t" o:hrnoshade="t" o:hr="t" fillcolor="#aca899" stroked="f"/>
              </w:pict>
            </w:r>
          </w:p>
          <w:p w:rsidR="00A46C7D" w:rsidRPr="00A46C7D" w:rsidRDefault="00A46C7D" w:rsidP="00A4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46C7D" w:rsidRPr="00A46C7D" w:rsidTr="00A46C7D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p w:rsidR="00A46C7D" w:rsidRPr="00A46C7D" w:rsidRDefault="00A46C7D" w:rsidP="00A46C7D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C7D" w:rsidRPr="00A46C7D" w:rsidTr="00A46C7D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46C7D" w:rsidRPr="00A46C7D" w:rsidRDefault="00A46C7D" w:rsidP="00A46C7D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C7D" w:rsidRPr="00A46C7D" w:rsidTr="00A46C7D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549"/>
            </w:tblGrid>
            <w:tr w:rsidR="00A46C7D" w:rsidRPr="00A46C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6C7D" w:rsidRPr="00A46C7D" w:rsidRDefault="00A46C7D" w:rsidP="00A46C7D">
                  <w:pPr>
                    <w:spacing w:before="15" w:after="15" w:line="240" w:lineRule="auto"/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ru-RU"/>
                    </w:rPr>
                  </w:pPr>
                  <w:r w:rsidRPr="00A46C7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ru-RU"/>
                    </w:rPr>
                    <w:t xml:space="preserve">© 1998-2014 "Российская газета" </w:t>
                  </w:r>
                </w:p>
                <w:p w:rsidR="00A46C7D" w:rsidRPr="00A46C7D" w:rsidRDefault="00A46C7D" w:rsidP="00A46C7D">
                  <w:pPr>
                    <w:spacing w:before="15" w:after="15" w:line="240" w:lineRule="auto"/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ru-RU"/>
                    </w:rPr>
                  </w:pPr>
                  <w:r w:rsidRPr="00A46C7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ru-RU"/>
                    </w:rPr>
                    <w:t>Электронные адреса отделов газеты можно посмотреть на странице "Контакты".</w:t>
                  </w:r>
                </w:p>
                <w:p w:rsidR="00A46C7D" w:rsidRPr="00A46C7D" w:rsidRDefault="00A46C7D" w:rsidP="00A46C7D">
                  <w:pPr>
                    <w:spacing w:before="15" w:after="15" w:line="240" w:lineRule="auto"/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ru-RU"/>
                    </w:rPr>
                  </w:pPr>
                  <w:r w:rsidRPr="00A46C7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ru-RU"/>
                    </w:rPr>
                    <w:t xml:space="preserve">Обо всем остальном пишите по адресу </w:t>
                  </w:r>
                  <w:hyperlink r:id="rId7" w:history="1">
                    <w:r w:rsidRPr="00A46C7D">
                      <w:rPr>
                        <w:rFonts w:ascii="Verdana" w:eastAsia="Times New Roman" w:hAnsi="Verdana" w:cs="Arial"/>
                        <w:color w:val="000000"/>
                        <w:sz w:val="15"/>
                        <w:szCs w:val="15"/>
                        <w:u w:val="single"/>
                        <w:lang w:eastAsia="ru-RU"/>
                      </w:rPr>
                      <w:t>rg@rg.ru</w:t>
                    </w:r>
                  </w:hyperlink>
                </w:p>
              </w:tc>
            </w:tr>
          </w:tbl>
          <w:p w:rsidR="00A46C7D" w:rsidRPr="00A46C7D" w:rsidRDefault="00A46C7D" w:rsidP="00A4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C7D" w:rsidRPr="00A46C7D" w:rsidTr="00A46C7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46C7D" w:rsidRPr="00A46C7D" w:rsidRDefault="00A46C7D" w:rsidP="00A4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10" name="Рисунок 10" descr="http://counter.rambler.ru/top100.cnt?250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ounter.rambler.ru/top100.cnt?250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295275"/>
                  <wp:effectExtent l="19050" t="0" r="0" b="0"/>
                  <wp:docPr id="11" name="Рисунок 11" descr="Rambler's Top10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ambler's Top100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" name="Рисунок 17" descr="http://top.list.ru/counter?id=11659;js=13;r=http%3A//www.rg.ru/2012/04/24/molodej-site-dok.html;j=true;s=1280*1024;d=32;rand=0.22004797734347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op.list.ru/counter?id=11659;js=13;r=http%3A//www.rg.ru/2012/04/24/molodej-site-dok.html;j=true;s=1280*1024;d=32;rand=0.22004797734347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295275"/>
                  <wp:effectExtent l="19050" t="0" r="0" b="0"/>
                  <wp:docPr id="18" name="Рисунок 18" descr="Рейтинг@Mail.ru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ейтинг@Mail.ru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" name="Рисунок 21" descr="http://www.tns-counter.ru/V13a****rg_ru/ru/CP1251/tmsec=rg_total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tns-counter.ru/V13a****rg_ru/ru/CP1251/tmsec=rg_total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</w:p>
          <w:p w:rsidR="00A46C7D" w:rsidRPr="00A46C7D" w:rsidRDefault="00A46C7D" w:rsidP="00A4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" name="Рисунок 24" descr="http://bs.yandex.ru/watch/165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bs.yandex.ru/watch/1659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C7D" w:rsidRPr="00A46C7D" w:rsidRDefault="00A46C7D" w:rsidP="00A4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  <w:r w:rsidRPr="00A4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/>
            </w:r>
          </w:p>
        </w:tc>
      </w:tr>
    </w:tbl>
    <w:p w:rsidR="00720166" w:rsidRDefault="00720166"/>
    <w:sectPr w:rsidR="00720166" w:rsidSect="00720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C7D"/>
    <w:rsid w:val="00720166"/>
    <w:rsid w:val="00A4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6C7D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A46C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printheader">
    <w:name w:val="printheader"/>
    <w:basedOn w:val="a"/>
    <w:rsid w:val="00A46C7D"/>
    <w:pPr>
      <w:spacing w:before="100" w:beforeAutospacing="1" w:after="45" w:line="240" w:lineRule="auto"/>
      <w:jc w:val="center"/>
    </w:pPr>
    <w:rPr>
      <w:rFonts w:ascii="Verdana" w:eastAsia="Times New Roman" w:hAnsi="Verdana" w:cs="Arial"/>
      <w:b/>
      <w:bCs/>
      <w:color w:val="000000"/>
      <w:sz w:val="26"/>
      <w:szCs w:val="26"/>
      <w:lang w:eastAsia="ru-RU"/>
    </w:rPr>
  </w:style>
  <w:style w:type="paragraph" w:customStyle="1" w:styleId="copyright">
    <w:name w:val="copyright"/>
    <w:basedOn w:val="a"/>
    <w:rsid w:val="00A46C7D"/>
    <w:pPr>
      <w:spacing w:before="15" w:after="15" w:line="240" w:lineRule="auto"/>
    </w:pPr>
    <w:rPr>
      <w:rFonts w:ascii="Verdana" w:eastAsia="Times New Roman" w:hAnsi="Verdana" w:cs="Arial"/>
      <w:color w:val="000000"/>
      <w:sz w:val="15"/>
      <w:szCs w:val="15"/>
      <w:lang w:eastAsia="ru-RU"/>
    </w:rPr>
  </w:style>
  <w:style w:type="paragraph" w:customStyle="1" w:styleId="printheaderdate">
    <w:name w:val="printheaderdate"/>
    <w:basedOn w:val="a"/>
    <w:rsid w:val="00A46C7D"/>
    <w:pPr>
      <w:spacing w:before="45" w:after="1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3" Type="http://schemas.openxmlformats.org/officeDocument/2006/relationships/webSettings" Target="webSettings.xml"/><Relationship Id="rId7" Type="http://schemas.openxmlformats.org/officeDocument/2006/relationships/hyperlink" Target="mailto:rg@rg.ru" TargetMode="External"/><Relationship Id="rId12" Type="http://schemas.openxmlformats.org/officeDocument/2006/relationships/hyperlink" Target="http://top.mail.ru/jump?from=1165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5" Type="http://schemas.openxmlformats.org/officeDocument/2006/relationships/image" Target="media/image1.gif"/><Relationship Id="rId15" Type="http://schemas.openxmlformats.org/officeDocument/2006/relationships/image" Target="media/image8.gif"/><Relationship Id="rId10" Type="http://schemas.openxmlformats.org/officeDocument/2006/relationships/image" Target="media/image4.gif"/><Relationship Id="rId4" Type="http://schemas.openxmlformats.org/officeDocument/2006/relationships/hyperlink" Target="http://www.rg.ru/" TargetMode="External"/><Relationship Id="rId9" Type="http://schemas.openxmlformats.org/officeDocument/2006/relationships/hyperlink" Target="http://top100.rambler.ru/home?id=250928" TargetMode="External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4296</Words>
  <Characters>24489</Characters>
  <Application>Microsoft Office Word</Application>
  <DocSecurity>0</DocSecurity>
  <Lines>204</Lines>
  <Paragraphs>57</Paragraphs>
  <ScaleCrop>false</ScaleCrop>
  <Company>МГЛУ</Company>
  <LinksUpToDate>false</LinksUpToDate>
  <CharactersWithSpaces>28728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Kasjuk</dc:creator>
  <cp:keywords/>
  <dc:description/>
  <cp:lastModifiedBy>Kasjuk</cp:lastModifiedBy>
  <cp:revision>1</cp:revision>
  <dcterms:created xsi:type="dcterms:W3CDTF">2014-06-16T07:13:00Z</dcterms:created>
  <dcterms:modified xsi:type="dcterms:W3CDTF">2014-06-16T07:14:00Z</dcterms:modified>
</cp:coreProperties>
</file>