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7D" w:rsidRPr="00A46C7D" w:rsidRDefault="00A46C7D" w:rsidP="00A4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.75pt" o:hralign="center" o:hrstd="t" o:hrnoshade="t" o:hr="t" fillcolor="#aca899" stroked="f"/>
        </w:pict>
      </w:r>
    </w:p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549"/>
      </w:tblGrid>
      <w:tr w:rsidR="00A46C7D" w:rsidRPr="00A46C7D" w:rsidTr="00A46C7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540"/>
              <w:gridCol w:w="9"/>
            </w:tblGrid>
            <w:tr w:rsidR="00A46C7D" w:rsidRPr="00A46C7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6C7D" w:rsidRPr="00A46C7D" w:rsidRDefault="00A46C7D" w:rsidP="00A46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hyperlink r:id="rId4" w:history="1">
                    <w:r>
                      <w:rPr>
                        <w:rFonts w:ascii="Times New Roman" w:eastAsia="Times New Roman" w:hAnsi="Times New Roman" w:cs="Times New Roman"/>
                        <w:noProof/>
                        <w:color w:val="000000"/>
                        <w:sz w:val="24"/>
                        <w:szCs w:val="24"/>
                        <w:lang w:eastAsia="ru-RU"/>
                      </w:rPr>
                      <w:drawing>
                        <wp:anchor distT="0" distB="0" distL="0" distR="0" simplePos="0" relativeHeight="251658240" behindDoc="0" locked="0" layoutInCell="1" allowOverlap="0">
                          <wp:simplePos x="0" y="0"/>
                          <wp:positionH relativeFrom="column">
                            <wp:align>left</wp:align>
                          </wp:positionH>
                          <wp:positionV relativeFrom="line">
                            <wp:posOffset>0</wp:posOffset>
                          </wp:positionV>
                          <wp:extent cx="2857500" cy="476250"/>
                          <wp:effectExtent l="19050" t="0" r="0" b="0"/>
                          <wp:wrapSquare wrapText="bothSides"/>
                          <wp:docPr id="1" name="Рисунок 2" descr="http://img.rg.ru/img/rg_logo_bw.gif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://img.rg.ru/img/rg_logo_bw.gif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57500" cy="47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anchor>
                      </w:drawing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A46C7D" w:rsidRPr="00A46C7D" w:rsidRDefault="00A46C7D" w:rsidP="00A46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46C7D" w:rsidRPr="00A46C7D" w:rsidRDefault="00A46C7D" w:rsidP="00A4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C7D" w:rsidRPr="00A46C7D" w:rsidTr="00A46C7D">
        <w:trPr>
          <w:trHeight w:val="60"/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p w:rsidR="00A46C7D" w:rsidRPr="00A46C7D" w:rsidRDefault="00A46C7D" w:rsidP="00A46C7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38100"/>
                  <wp:effectExtent l="0" t="0" r="0" b="0"/>
                  <wp:docPr id="2" name="Рисунок 2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3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C7D" w:rsidRPr="00A46C7D" w:rsidTr="00A46C7D">
        <w:trPr>
          <w:trHeight w:val="1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46C7D" w:rsidRPr="00A46C7D" w:rsidRDefault="00A46C7D" w:rsidP="00A46C7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C7D" w:rsidRPr="00A46C7D" w:rsidTr="00A46C7D">
        <w:trPr>
          <w:trHeight w:val="120"/>
          <w:tblCellSpacing w:w="0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A46C7D" w:rsidRPr="00A46C7D" w:rsidRDefault="00A46C7D" w:rsidP="00A46C7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4" name="Рисунок 4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C7D" w:rsidRPr="00A46C7D" w:rsidTr="00A46C7D">
        <w:trPr>
          <w:tblCellSpacing w:w="0" w:type="dxa"/>
          <w:jc w:val="center"/>
        </w:trPr>
        <w:tc>
          <w:tcPr>
            <w:tcW w:w="0" w:type="auto"/>
            <w:hideMark/>
          </w:tcPr>
          <w:p w:rsidR="00A46C7D" w:rsidRPr="00A46C7D" w:rsidRDefault="00A46C7D" w:rsidP="00A46C7D">
            <w:pPr>
              <w:spacing w:before="45" w:after="1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Опубликовано 24 апреля 2012 г.</w:t>
            </w:r>
          </w:p>
          <w:p w:rsidR="00A46C7D" w:rsidRPr="00A46C7D" w:rsidRDefault="00A46C7D" w:rsidP="00A4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rect id="_x0000_i1029" style="width:0;height:.75pt" o:hralign="center" o:hrstd="t" o:hrnoshade="t" o:hr="t" fillcolor="#aca899" stroked="f"/>
              </w:pict>
            </w:r>
          </w:p>
          <w:p w:rsidR="00A46C7D" w:rsidRPr="00A46C7D" w:rsidRDefault="00A46C7D" w:rsidP="00A46C7D">
            <w:pPr>
              <w:spacing w:before="100" w:beforeAutospacing="1" w:after="45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46C7D">
              <w:rPr>
                <w:rFonts w:ascii="Verdana" w:eastAsia="Times New Roman" w:hAnsi="Verdana" w:cs="Arial"/>
                <w:b/>
                <w:bCs/>
                <w:color w:val="000000"/>
                <w:sz w:val="26"/>
                <w:szCs w:val="26"/>
                <w:lang w:eastAsia="ru-RU"/>
              </w:rPr>
              <w:t xml:space="preserve">Распоряжение Правительства Российской Федерации от 17 апреля 2012 г. N 506-р г. Москва "Об утверждении Концепции государственной молодежной политики в субъектах Российской Федерации, входящих в </w:t>
            </w:r>
            <w:proofErr w:type="spellStart"/>
            <w:r w:rsidRPr="00A46C7D">
              <w:rPr>
                <w:rFonts w:ascii="Verdana" w:eastAsia="Times New Roman" w:hAnsi="Verdana" w:cs="Arial"/>
                <w:b/>
                <w:bCs/>
                <w:color w:val="000000"/>
                <w:sz w:val="26"/>
                <w:szCs w:val="26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Verdana" w:eastAsia="Times New Roman" w:hAnsi="Verdana" w:cs="Arial"/>
                <w:b/>
                <w:bCs/>
                <w:color w:val="000000"/>
                <w:sz w:val="26"/>
                <w:szCs w:val="26"/>
                <w:lang w:eastAsia="ru-RU"/>
              </w:rPr>
              <w:t xml:space="preserve"> федеральный округ, до 2025 года"</w:t>
            </w:r>
          </w:p>
        </w:tc>
      </w:tr>
      <w:tr w:rsidR="00A46C7D" w:rsidRPr="00A46C7D" w:rsidTr="00A46C7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46C7D" w:rsidRPr="00A46C7D" w:rsidRDefault="00A46C7D" w:rsidP="00A46C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1. Утвердить прилагаемую Концепцию государственной молодежной политики в субъектах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до 2025 года.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2. Рекомендовать федеральным органам исполнительной власти и органам исполнительной власти субъектов Российской Федерации при осуществлении своей деятельности руководствоваться положениями Концепции, утвержденной настоящим распоряжением.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Председатель</w:t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Правительства Российской Федерации</w:t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В. Путин</w:t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 Прим. </w:t>
            </w:r>
            <w:proofErr w:type="spellStart"/>
            <w:proofErr w:type="gramStart"/>
            <w:r w:rsidRPr="00A46C7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ред</w:t>
            </w:r>
            <w:proofErr w:type="spellEnd"/>
            <w:proofErr w:type="gramEnd"/>
            <w:r w:rsidRPr="00A46C7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: текст распоряжения опубликован в "Собрании законодательства РФ", 23.04.2012, N 17, ст. 2062.</w:t>
            </w:r>
          </w:p>
          <w:p w:rsidR="00A46C7D" w:rsidRPr="00A46C7D" w:rsidRDefault="00A46C7D" w:rsidP="00A46C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7D" w:rsidRPr="00A46C7D" w:rsidRDefault="00A46C7D" w:rsidP="00A46C7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6C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Концепция государственной молодежной политики в субъектах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федеральный округ, до 2025 года</w:t>
            </w:r>
          </w:p>
          <w:p w:rsidR="00A46C7D" w:rsidRPr="00A46C7D" w:rsidRDefault="00A46C7D" w:rsidP="00A46C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I. </w:t>
            </w:r>
            <w:proofErr w:type="gramStart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Общие положения</w:t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Концепция государственной молодежной политики в субъектах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 (далее - Концепция), разработана в целях реализации Стратегии социально-экономического развития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 до 2025 года, утвержденной распоряжением Правительства Российской Федерации от 6 сентября 2010 г. N 1485-р, с учетом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 17 ноября 2008 г. N 1662-р, и Стратегии государственной молодежной политики в Российской Федерации, утвержденной распоряжением Правительства Российской Федерации от 18 декабря 2006 г. N 1760-р.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Концепция служит основой для организации работы органов государственной власти и местного самоуправления при решении вопросов, связанных с реализацией государственной молодежной политики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федеральном округе.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Координация мероприятий по реализации Концепции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молодежной политики.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II. Особенности положения молодежи и состояние государственной молодежной политики в </w:t>
            </w:r>
            <w:proofErr w:type="spellStart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федеральном округе</w:t>
            </w:r>
            <w:proofErr w:type="gramStart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 данным Всероссийской переписи населения 2010 года,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федеральном округе проживало 2,8 млн. молодых людей в возрасте от 14 до 30 лет, что составляет 30,5 процента общего числа жителей и является одним из самых высоких показателей в Российской Федерации. В целом по стране средняя доля молодежи в структуре численности населения не превышает 25,4 процента.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Этот фактор оказывает значительное влияние на социально-экономическое развитие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 и, с одной стороны, требует принятия комплекса дополнительных мер в экономике, в социальной, образовательной сферах, а также в сфере государственной молодежной политики, с другой стороны, он может стать значительным конкурентным преимуществом данного региона при условии рационального использования трудовых ресурсов и инновационного потенциала молодежи.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Данные социологических исследований показывают, что молодежь Северного Кавказа в настоящее время не удовлетворена своим положением, уровнем защиты своих прав и законных интересов, не уверена в будущем. К числу наиболее актуальных проблем молодые люди относят безработицу, коррупцию, рост преступности, распространение наркомании, алкоголизма, необеспеченность жильем, рост цен и инфляцию, межэтнические противоречия, уровень культуры и нравственности людей. На первое место молодежь ставит проблемы экономического характера и социально-экономической политики в целом. Не удовлетворены своим материальным положением более половины респондентов.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Вместе с тем для части молодежи характерны наряду с правовым нигилизмом и политической индифферентностью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амбициозность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жизненных целей и планов, завышенный уровень ожиданий и притязаний.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Проблемы молодежи осложняются тем, что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 относится к числу наименее экономически развитых. По основным социально-экономическим показателям и уровню развития экономики округ заметно отстает от других федеральных округов. При этом ситуация в отдельных субъектах Российской Федерации, находящихся в пределах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округа, существенно различается как из-за особенностей традиционного уклада, так и в связи с различной природой межэтнических, межрелигиозных и межконфессиональных проблем.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Молодежь в силу низкого социального статуса, недостаточного уровня образования, отсутствия социальных навыков и профессионального опыта оказывается наиболее незащищенной группой населения, нуждающейся в целенаправленной государственной поддержке в условиях, характеризующихся высоким уровнем безработицы, сложной </w:t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криминогенной обстановкой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напряженной этнополитической ситуацией.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Актуальной проблемой становится обособленность молодежи от жизни страны в целом, ее замкнутость внутри этнических общностей. Вследствие этого молодые люди, будучи восприимчивыми к радикальным взглядам и моделям поведения как способу решения своих проблем, могут стать объектами воздействия со стороны националистических и религиозных экстремистов, стремящихся сформировать негативное отношение к представителям других этнических групп. В то же время опыт проведения межрегиональных и всероссийских мероприятий показывает стремление молодежи Северного Кавказа к интеграции в жизнь страны, межрегиональному и межкультурному взаимодействию и сотрудничеству.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В этих условиях эффективная государственная молодежная политика становится одним из определяющих факторов повышения стабильности политической и социально-экономической обстановки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федеральном округе.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Реализация государственной молодежной политики в субъектах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возложена на органы по делам молодежи. Число работников этих органов различно. Причем в отдельных регионах на одного сотрудника органа по делам 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молодежи приходится до 8-9 тысяч молодых людей в возрасте от 14 до 30 лет, тогда как в среднем по России этот показатель не превышает 3 тысяч.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Организацию работы с молодежью в субъектах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обеспечивает 21 региональное учреждение органов по делам молодежи. В ряде регионов такие учреждения отсутствуют вообще, а материально-техническая база действующих учреждений значительно устарела, не соответствует потребностям молодежи и существенно ограничивает возможность приобретения ею актуальных навыков и компетенций.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Вовлечение молодежи в социальную практику обеспечивается в значительной мере через ее участие в работе молодежных общественных объединений. На территории округа работает более 150 молодежных объединений различной направленности, в деятельности которых принимает участие 652 тыс. человек (23,3 процента молодежи). Данный показатель соответствует среднему по Российской Федерации. Вместе с тем в большинстве субъектов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не разработаны нормативные правовые акты и механизмы государственной поддержки инициатив общественных молодежных объединений.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Доля средств, выделяемых из бюджетов субъектов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на реализацию государственной молодежной политики, в большинстве субъектов ниже, чем в среднем по России, а в отдельных - ниже аналогичного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среднероссийского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показателя в десятки раз.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Оценка современной ситуации позволяет сделать вывод о необходимости выработки нового стратегического подхода к реализации государственной молодежной политики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федеральном округе, который должен предусматривать создание условий для социализации молодежи Северного Кавказа, развития ее творческого и интеллектуального потенциала, интеграции в жизнь страны.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Необходимыми условиями для повышения эффективности государственной молодежной политики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федеральном округе являются совершенствование ее кадрового, научно-методического, нормативно-правового, информационного и финансового обеспечения, а также формирование инфраструктуры, соответствующей уровню и сложности стоящих перед отраслью задач.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III. </w:t>
            </w:r>
            <w:proofErr w:type="gramStart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 и принципы государственной молодежной политики в </w:t>
            </w:r>
            <w:proofErr w:type="spellStart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федеральном округе</w:t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Целью государственной молодежной политики в субъектах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является создание правовых, экономических и организационных условий для гармоничного развития, эффективной социализации, успешной самореализации, формирования общероссийской гражданской идентичности молодежи, реализации ее инновационного потенциала в интересах устойчивого развития России.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Достижение указанной цели в значительной мере зависит от успешного решения задач социально-экономического развития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 в целом, включая обеспечение стабильного экономического роста, повышения благосостояния населения, развития человеческого капитала, повышения уровня образования и правового просвещения граждан, формирования социальной инфраструктуры, отвечающей потребностям населения.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Государственная молодежная политика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федеральном округе должна строиться исходя из следующих принципов: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участие молодежи и институтов гражданского общества в формировании и реализации государственной молодежной политики;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адресность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индивидуальный подход, предполагающий учет особенностей каждой возрастной, социальной, профессиональной, этнической групп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приоритет интересов, потребностей молодежи и учет ее мнения при 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разработке и реализации региональных комплексных и отраслевых программ социально-экономического развития;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межведомственный подход в реализации государственной молодежной политики на всех уровнях государственной власти;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информационная открытость и независимость оценки результатов реализации государственной молодежной политики.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IV. Основные направления государственной молодежной политики в </w:t>
            </w:r>
            <w:proofErr w:type="spellStart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федеральном округе</w:t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 достижения цели государственной молодежной политики необходимо обеспечить реализацию мероприятий по следующим основным направлениям государственной молодежной политики: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духовно-нравственное развитие и гражданское образование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вовлечение молодежи в социальную практику;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поддержка инициативной и талантливой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поддержка молодежи, находящейся в трудной жизненной ситуации.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Мероприятия по духовно-нравственному развитию и гражданскому образованию молодежи включают в себя: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воспитание гражданственности и патриотизма, в том числе: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проведение мероприятий по гражданскому образованию, патриотическому и интернациональному воспитанию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привлечение авторитетных религиозных лидеров к участию в работе по духовно-нравственному воспитанию молодежи и пропаганде семейных ценностей;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воспитание патриотизма и интернационализма в процессе изучения героических страниц истории, пропаганду достижений российской науки, культуры и государственности, отечественного спорта, трудовых свершений граждан Российской Федерации и подвигов защитников Отечества;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пропаганду государственных символов Российской Федерации;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оказание государственной поддержки инициативам общественных объединений, направленным на патриотическое воспитание граждан Российской Федерации;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проведение региональных научно-практических конференций, семинаров, круглых столов по обмену опытом работы с участием патриотических организаций;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поисковой работы, развитие движения постов N 1 и деятельности по увековечению памяти воинов, погибших при защите Отечества;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создание, развитие и поддержку клубов и объединений патриотической направленности;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развитие внутреннего туризма, организацию посещения молодежью городов-героев и городов воинской славы в других субъектах Российской Федерации;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воспитание культуры межнационального общения, интеграцию молодежи в общероссийское политико-экономическое и социально-культурное пространство, в том числе: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обеспечение участия молодежи в региональных, межрегиональных и общероссийских мероприятиях, проводимых в других регионах страны, содействие межрегиональному и межкультурному диалогу;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организацию участия молодежи из других российских регионов в региональных и межрегиональных мероприятиях, проводимых на территории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на территории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 общероссийских и межрегиональных массовых мероприятий в сфере молодежной политики (творческих фестивалей, конкурсов, слетов, выставок и т. п.), а также мероприятий, направленных на формирование толерантности и культуры межэтнического общения, профилактику этнического и религиозно-политического экстремизма, поддержку межрелигиозного и межкультурного диалога в молодежной среде;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межрегиональных молодежных обменов для молодежи и стажировок для специалистов органов по делам молодежи, сотрудников государственных и муниципальных учреждений, лидеров молодежных и детских общественных объединений;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организацию участия молодежи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 в международных молодежных обменах;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формирование здорового образа жизни и организацию досуга молодежи, в том числе: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бесплатных спортивных секций, кружков художественного и технического творчества, объединений по интересам по месту жительства на базе учреждений органов по делам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участия молодежи в массовых физкультурно-спортивных мероприятиях;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спортивных соревнований, в том числе по национальным видам спорта;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формирование и поддержку деятельности молодежного волонтерского движения по пропаганде здорового образа жизни;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формирование и поддержку деятельности региональных и местных советов спортивных болельщиков;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взаимодействия с неформальными молодежными объединениями и вовлечение их участников в социально-значимую деятельность.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Мероприятия по вовлечению молодежи в социальную практику включают в себя: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содействие занятости молодежи, развитие эффективных моделей и форм вовлечения молодежи в трудовую и экономическую деятельность, в том числе: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организацию деятельности специализированных организаций по трудоустройству молодежи (молодежных бирж труда, центров трудоустройства выпускников, штабов студенческих отрядов, </w:t>
            </w:r>
            <w:proofErr w:type="spellStart"/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бизнес-инкубаторов</w:t>
            </w:r>
            <w:proofErr w:type="spellEnd"/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развитие системы профессиональной ориентации молодежи, включая ознакомление с перспективами трудоустройства по выбираемой специальности и условиями работы на предприятиях и в организациях, а также проведение информационно-пропагандистских кампаний по повышению престижа рабочих профессий и профессионального мастерства с использованием средств массовой информации и современных информационных технологий;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временной и сезонной занятости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 условий и стимулов для трудоустройства молодых специалистов;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 условий для вовлечения молодежи в предпринимательскую деятельность (информирование о программах поддержки и развития малого бизнеса, организация обучения основам предпринимательской деятельности, оказание финансовой и иной поддержки предприятиям, созданным молодыми людьми);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создание и поддержку деятельности молодежных, студенческих отрядов, 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организацию их работы на строительных объектах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федеральном округе;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участия региональных студенческих отрядов во всероссийских студенческих стройках, а также в других субъектах Российской Федерации;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формирование и поддержку деятельности добровольных молодежных дружин и отрядов правопорядка;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 условий для вовлечения молодежи в волонтерскую деятельность, обучение и подготовку волонтеров, а также использование их труда в целях социально-экономического развития округа;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содействие обеспечению молодежи доступным жильем, в том числе: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информирование молодежи о возможностях улучшения жилищных условий и механизмах реализации подпрограмм по обеспечению жильем молодых семей, молодых ученых и специалистов, молодых специалистов, работающих в сельской местности, в рамках федеральной целевой программы "Жилище" на 2011-2015 годы, отраслевых и региональных целевых программ;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разработку и развитие новых форм обеспечения молодежи доступным жильем (социальные выплаты на строительство или приобретение жилья, субсидирование процентной ставки по ипотечному кредиту, организация молодежных жилых комплексов и др.);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поддержку деятельности молодежных и детских общественных объединений, в том числе: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вовлечение молодежи в деятельность молодежных и детских общественных объединений, развитие различных форм ученического и студенческого самоуправления;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формирование региональных реестров молодежных и детских общественных объединений, пользующихся государственной поддержкой; 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оказание государственной поддержки зарегистрированным в установленном порядке общественным объединениям, входящим в федеральный и региональный реестры молодежных и детских объединений, в том числе в форме субсидий на реализацию проектов в сфере государственной молодежной политики;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оказание содействия в деятельности региональных отделений и филиалов общероссийских и межрегиональных молодежных и детских общественных объединений;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обучения и повышения квалификации молодых лидеров, руководителей и актива молодежных и детских общественных объединений;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стажировок лидеров молодежных и детских общественных объединений в органах государственной власти субъектов Российской Федерации, органах местного самоуправления, государственных и иных учреждениях и организациях;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обеспечение участия лидеров молодежных и детских общественных объединений в общероссийских и межрегиональных мероприятиях, а также в мероприятиях в сфере государственной молодежной политики других субъектов Российской Федерации;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формирование консультативно-совещательных органов с участием представителей молодежи, молодежных и детских общественных объединений при исполнительных и законодательных органах государственной власти.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Мероприятия по поддержке инициативной и талантливой молодежи включают в себя: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разработку и внедрение механизмов выявления, поддержки и сопровождения талантливой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br/>
              <w:t>создание баз данных талантливой молодежи и молодых ученых;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 и поддержку центров научно-технического творчества молодежи, стимулирование инновационной деятельности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формирование и поддержку деятельности советов молодых ученых и специалистов, в том числе создание студенческих научных обществ;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проведение региональных этапов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молодежного форума "Машук";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организацию участия молодежи округа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Северо-Кавказском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молодежном форуме "Машук" и общероссийских молодежных образовательных форумах;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участия учащейся молодежи во всероссийских олимпиадах и творческих конкурсах.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Мероприятия по поддержке молодежи, находящейся в трудной жизненной ситуации, включают в себя: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профилактику правонарушений в молодежной среде;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организацию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антинаркотической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пропаганды среди молодежи и развитие системы социальной адаптации;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 постоянных специализированных рабочих мест для трудоустройства лиц, совершивших правонарушение или преступление, а также возвратившихся из мест лишения свободы;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 и развитие социальных служб для воспитательного сопровождения лиц, склонных к совершению правонарушений либо совершивших правонарушения;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проведение индивидуальной профилактической и воспитательной работы с лицами, склонными к совершению преступлений и правонарушений;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обеспечение доступности государственных услуг, оказываемых учреждениями органов по делам молодежи, в том числе для лиц с ограниченными возможностями здоровья;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консультационных услуг для молодежи, в том числе с использованием современных информационных технологий;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создание и сопровождение базы данных лиц, находящихся в трудной жизненной ситуации, с целью мониторинга и оказания своевременной помощи.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V. Механизмы реализации Концепции</w:t>
            </w:r>
            <w:proofErr w:type="gramStart"/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ля реализации Концепции необходимо осуществить систему мер, направленных на совершенствование правового, кадрового, научно-методического, информационного и финансового обеспечения государственной молодежной политики субъектами Российской Федерации, входящими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Нормативное правовое обеспечение предусматривает внесение изменений в региональные нормативные правовые акты, комплексные и отраслевые программы социально-экономического развития субъектов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в целях реализации положений Концепции, а также учет положений Концепции при принятии региональных нормативных правовых актов, утверждении региональных государственных программ субъектов Российской Федерации, комплексных планов и перечней мероприятий.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Кадровое и научно-методическое обеспечение предусматривает реализацию мер по организации профессиональной переподготовки и повышению квалификации руководителей и специалистов органов государственной власти субъектов Российской Федерации, органов местного 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самоуправления государственных и муниципальных учреждений, к компетенции которых относятся вопросы реализации государственной молодежной политики, формирование кадрового резерва.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Информационное обеспечение предусматривает: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осуществление мониторинга хода реализации государственной молодежной политики и подготовку ежегодного доклада о положении молодежи в субъекте Российской Федерации, включая сбор и анализ информации по основным направлениям молодежной политики;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издания информационных, методических и исследовательских материалов для молодежи и специалистов, работающих с молодежью;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производства и трансляции теле- и радиопередач по молодежной тематике;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поддержки и развития системы информационных ресурсов в сети Интернет, освещающих вопросы молодежной политики;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размещения социальной рекламы молодежных программ и услуг для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реализацию мер по популяризации достижений молодежи и формированию положительного образа Северного Кавказа.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Финансовое обеспечение включает в себя: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финансовое обеспечение реализуемых в соответствии с Концепцией федеральными органами исполнительной власти на территории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 мероприятий, которые осуществляются в пределах бюджетных ассигнований, предусмотренных федеральным законом о федеральном бюджете на соответствующий финансовый год и плановый период;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финансовое обеспечение реализуемых в соответствии с Концепцией органами государственной власти субъектов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мероприятий, которые осуществляются за счет бюджетных ассигнований, предусмотренных законами о бюджетах субъектов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на соответствующий финансовый год, в том числе на основании региональных государственных программ, направленных на реализацию государственной молодежной политики.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VI. Ожидаемые результаты</w:t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Реализация Концепции должна обеспечить совершенствование системы работы с молодежью в субъектах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формирование современной инфраструктуры и повышение доли бюджетных средств, выделяемых на ее осуществление.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Оценка хода реализации Концепции производится на основании целевых показателей результативности, устанавливаемых региональными нормативными правовыми актами, последовательное и поэтапное достижение которых должно привести к следующим результатам: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снижение уровня безработицы среди молодежи трудоспособного возраста и сокращение </w:t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доли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не работающей и не учащейся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сокращение количества правонарушений и преступлений, совершаемых молодежью;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снижение доли несовершеннолетних, состоящих на всех видах учета (несовершеннолетние, состоящие на учете в подразделениях по делам несовершеннолетних органов внутренних дел, комиссиях по делам несовершеннолетних и защите их прав, наркологических диспансерах), в общей численности несовершеннолетних;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увеличение доли молодежи, вовлеченной в позитивную социально-культурную деятельность и волонтерские программы, в общей численности населения в данной возрастной группе;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увеличение численности молодежи, систематически занимающейся физической культурой и спортом;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молодежи, участвующей в деятельности молодежных и детских общественных объединений;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молодежи, участвующей в мероприятиях научно-технической направленности;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молодежи, участвующей в проектах и программах в сфере поддержки талантливой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молодежи, участвующей в деятельности студенческих отрядов;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молодежи, вовлеченной в предпринимательскую деятельность;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количества субъектов малого предпринимательства за счет предприятий, созданных молодыми людьми, получившими финансовую и иную поддержку;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молодых граждан, обеспеченных жильем в рамках реализации государственных программ;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молодежи в региональных законодательных и исполнительных органах государственной власти, органах местного самоуправления и их учреждениях;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увеличение численности молодежи, принимающей участие в межрегиональных и международных молодежных обменах, во всероссийских и межрегиональных мероприятиях в сфере молодежной политики;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увеличение численности молодежи из других российских регионов, принимающих участие в мероприятиях, проводимых на территории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Северо-Кавказского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федерального округа.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VII. Этапы реализации Концепции</w:t>
            </w:r>
            <w:r w:rsidRPr="00A46C7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Концепция реализуется в 2 этапа.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На первом этапе реализации Концепции (2012-2014 годы) предусматривается осуществить: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внесение изменений в нормативные правовые акты, региональные комплексные и отраслевые программы социально-экономического развития субъектов Российской Федерации, входящих в </w:t>
            </w:r>
            <w:proofErr w:type="spell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Северо-Кавказский</w:t>
            </w:r>
            <w:proofErr w:type="spell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федеральный округ, в целях реализации положений Концепции, а также обеспечения защиты законных прав, интересов и потребностей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разработку и утверждение региональных целевых и государственных программ, комплексных планов и перечней мероприятий, направленных на реализацию основных направлений государственной молодежной политики, определенных в Концепции;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разработку и утверждение региональными нормативными правовыми актами значений целевых показателей результативности по основным направлениям государственной молодежной политики;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научно-исследовательские работы в сфере молодежной политики, мониторинга положения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разработку стандартов оказания услуг учреждениями органов по делам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br/>
              <w:t>обобщение и распространение лучшего опыта учреждений органов по делам молодежи, нормативное закрепление их правового статуса, создание и развитие востребованных молодежью социальных служб и учреждений;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организацию обучения кадров в сфере молодежной политики.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результате реализации мероприятий первого этапа предполагается: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модернизировать не менее 40 процентов действующих учреждений органов по делам молодежи;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обеспечить внедрение программ по работе с молодежью, оказавшейся в трудной жизненной ситуации;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увеличить до 12 процентов долю молодых людей, принимающих участие в волонтерской деятельности;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обеспечить вовлечение в проекты и программы в сфере поддержки талантливой молодежи не менее 22 процентов молодых людей;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увеличить не менее чем в 2 раза по сравнению с 2010 годом численность молодежи, принимающей участие в межрегиональных и международных молодежных обменах, во всероссийских и межрегиональных мероприятиях в сфере государственной молодежной политики.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На втором этапе реализации Концепции (2015-2025 годы) предусматривается осуществить: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оценку результатов мероприятий первого этапа реализации Концепции;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обновление приоритетов государственной молодежной политики и определение групп молодежи, требующих особого внимания, с учетом социально-экономического развития страны;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корректировку значений целевых показателей результативности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молодежной политики;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мониторинг ситуации в молодежной среде и корректировку реализуемых программ;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внедрение результатов научно-исследовательских разработок;</w:t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разработку дополнительных программных документов, направленных на нормативно-правовое, организационное и экономическое обеспечение государственной молодежной политики;</w:t>
            </w:r>
            <w:proofErr w:type="gramEnd"/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A46C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формирование единого информационного пространства для молодежи. </w:t>
            </w:r>
          </w:p>
        </w:tc>
      </w:tr>
      <w:tr w:rsidR="00A46C7D" w:rsidRPr="00A46C7D" w:rsidTr="00A46C7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46C7D" w:rsidRPr="00A46C7D" w:rsidRDefault="00A46C7D" w:rsidP="00A4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pict>
                <v:rect id="_x0000_i1030" style="width:0;height:.75pt" o:hralign="center" o:hrstd="t" o:hrnoshade="t" o:hr="t" fillcolor="#aca899" stroked="f"/>
              </w:pict>
            </w:r>
          </w:p>
          <w:p w:rsidR="00A46C7D" w:rsidRPr="00A46C7D" w:rsidRDefault="00A46C7D" w:rsidP="00A4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46C7D" w:rsidRPr="00A46C7D" w:rsidTr="00A46C7D">
        <w:trPr>
          <w:trHeight w:val="75"/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p w:rsidR="00A46C7D" w:rsidRPr="00A46C7D" w:rsidRDefault="00A46C7D" w:rsidP="00A46C7D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C7D" w:rsidRPr="00A46C7D" w:rsidTr="00A46C7D">
        <w:trPr>
          <w:trHeight w:val="1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46C7D" w:rsidRPr="00A46C7D" w:rsidRDefault="00A46C7D" w:rsidP="00A46C7D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8" name="Рисунок 8" descr="http://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C7D" w:rsidRPr="00A46C7D" w:rsidTr="00A46C7D">
        <w:trPr>
          <w:tblCellSpacing w:w="0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6549"/>
            </w:tblGrid>
            <w:tr w:rsidR="00A46C7D" w:rsidRPr="00A46C7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6C7D" w:rsidRPr="00A46C7D" w:rsidRDefault="00A46C7D" w:rsidP="00A46C7D">
                  <w:pPr>
                    <w:spacing w:before="15" w:after="15" w:line="240" w:lineRule="auto"/>
                    <w:rPr>
                      <w:rFonts w:ascii="Verdana" w:eastAsia="Times New Roman" w:hAnsi="Verdana" w:cs="Arial"/>
                      <w:color w:val="000000"/>
                      <w:sz w:val="15"/>
                      <w:szCs w:val="15"/>
                      <w:lang w:eastAsia="ru-RU"/>
                    </w:rPr>
                  </w:pPr>
                  <w:r w:rsidRPr="00A46C7D">
                    <w:rPr>
                      <w:rFonts w:ascii="Verdana" w:eastAsia="Times New Roman" w:hAnsi="Verdana" w:cs="Arial"/>
                      <w:color w:val="000000"/>
                      <w:sz w:val="15"/>
                      <w:szCs w:val="15"/>
                      <w:lang w:eastAsia="ru-RU"/>
                    </w:rPr>
                    <w:t xml:space="preserve">© 1998-2014 "Российская газета" </w:t>
                  </w:r>
                </w:p>
                <w:p w:rsidR="00A46C7D" w:rsidRPr="00A46C7D" w:rsidRDefault="00A46C7D" w:rsidP="00A46C7D">
                  <w:pPr>
                    <w:spacing w:before="15" w:after="15" w:line="240" w:lineRule="auto"/>
                    <w:rPr>
                      <w:rFonts w:ascii="Verdana" w:eastAsia="Times New Roman" w:hAnsi="Verdana" w:cs="Arial"/>
                      <w:color w:val="000000"/>
                      <w:sz w:val="15"/>
                      <w:szCs w:val="15"/>
                      <w:lang w:eastAsia="ru-RU"/>
                    </w:rPr>
                  </w:pPr>
                  <w:r w:rsidRPr="00A46C7D">
                    <w:rPr>
                      <w:rFonts w:ascii="Verdana" w:eastAsia="Times New Roman" w:hAnsi="Verdana" w:cs="Arial"/>
                      <w:color w:val="000000"/>
                      <w:sz w:val="15"/>
                      <w:szCs w:val="15"/>
                      <w:lang w:eastAsia="ru-RU"/>
                    </w:rPr>
                    <w:t>Электронные адреса отделов газеты можно посмотреть на странице "Контакты".</w:t>
                  </w:r>
                </w:p>
                <w:p w:rsidR="00A46C7D" w:rsidRPr="00A46C7D" w:rsidRDefault="00A46C7D" w:rsidP="00A46C7D">
                  <w:pPr>
                    <w:spacing w:before="15" w:after="15" w:line="240" w:lineRule="auto"/>
                    <w:rPr>
                      <w:rFonts w:ascii="Verdana" w:eastAsia="Times New Roman" w:hAnsi="Verdana" w:cs="Arial"/>
                      <w:color w:val="000000"/>
                      <w:sz w:val="15"/>
                      <w:szCs w:val="15"/>
                      <w:lang w:eastAsia="ru-RU"/>
                    </w:rPr>
                  </w:pPr>
                  <w:r w:rsidRPr="00A46C7D">
                    <w:rPr>
                      <w:rFonts w:ascii="Verdana" w:eastAsia="Times New Roman" w:hAnsi="Verdana" w:cs="Arial"/>
                      <w:color w:val="000000"/>
                      <w:sz w:val="15"/>
                      <w:szCs w:val="15"/>
                      <w:lang w:eastAsia="ru-RU"/>
                    </w:rPr>
                    <w:t xml:space="preserve">Обо всем остальном пишите по адресу </w:t>
                  </w:r>
                  <w:hyperlink r:id="rId7" w:history="1">
                    <w:r w:rsidRPr="00A46C7D">
                      <w:rPr>
                        <w:rFonts w:ascii="Verdana" w:eastAsia="Times New Roman" w:hAnsi="Verdana" w:cs="Arial"/>
                        <w:color w:val="000000"/>
                        <w:sz w:val="15"/>
                        <w:szCs w:val="15"/>
                        <w:u w:val="single"/>
                        <w:lang w:eastAsia="ru-RU"/>
                      </w:rPr>
                      <w:t>rg@rg.ru</w:t>
                    </w:r>
                  </w:hyperlink>
                </w:p>
              </w:tc>
            </w:tr>
          </w:tbl>
          <w:p w:rsidR="00A46C7D" w:rsidRPr="00A46C7D" w:rsidRDefault="00A46C7D" w:rsidP="00A4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C7D" w:rsidRPr="00A46C7D" w:rsidTr="00A46C7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46C7D" w:rsidRPr="00A46C7D" w:rsidRDefault="00A46C7D" w:rsidP="00A4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10" name="Рисунок 10" descr="http://counter.rambler.ru/top100.cnt?250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ounter.rambler.ru/top100.cnt?250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295275"/>
                  <wp:effectExtent l="19050" t="0" r="0" b="0"/>
                  <wp:docPr id="11" name="Рисунок 11" descr="Rambler's Top10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ambler's Top100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7" name="Рисунок 17" descr="http://top.list.ru/counter?id=11659;js=13;r=http%3A//www.rg.ru/2012/04/24/molodej-site-dok.html;j=true;s=1280*1024;d=32;rand=0.22004797734347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op.list.ru/counter?id=11659;js=13;r=http%3A//www.rg.ru/2012/04/24/molodej-site-dok.html;j=true;s=1280*1024;d=32;rand=0.22004797734347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295275"/>
                  <wp:effectExtent l="19050" t="0" r="0" b="0"/>
                  <wp:docPr id="18" name="Рисунок 18" descr="Рейтинг@Mail.ru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Рейтинг@Mail.ru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1" name="Рисунок 21" descr="http://www.tns-counter.ru/V13a****rg_ru/ru/CP1251/tmsec=rg_total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tns-counter.ru/V13a****rg_ru/ru/CP1251/tmsec=rg_total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</w:p>
          <w:p w:rsidR="00A46C7D" w:rsidRPr="00A46C7D" w:rsidRDefault="00A46C7D" w:rsidP="00A4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4" name="Рисунок 24" descr="http://bs.yandex.ru/watch/1659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bs.yandex.ru/watch/165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C7D" w:rsidRPr="00A46C7D" w:rsidRDefault="00A46C7D" w:rsidP="00A4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  <w:r w:rsidRPr="00A4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/>
            </w:r>
          </w:p>
        </w:tc>
      </w:tr>
    </w:tbl>
    <w:p w:rsidR="00720166" w:rsidRDefault="00720166"/>
    <w:sectPr w:rsidR="00720166" w:rsidSect="0072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C7D"/>
    <w:rsid w:val="00720166"/>
    <w:rsid w:val="00A4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6C7D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A46C7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printheader">
    <w:name w:val="printheader"/>
    <w:basedOn w:val="a"/>
    <w:rsid w:val="00A46C7D"/>
    <w:pPr>
      <w:spacing w:before="100" w:beforeAutospacing="1" w:after="45" w:line="240" w:lineRule="auto"/>
      <w:jc w:val="center"/>
    </w:pPr>
    <w:rPr>
      <w:rFonts w:ascii="Verdana" w:eastAsia="Times New Roman" w:hAnsi="Verdana" w:cs="Arial"/>
      <w:b/>
      <w:bCs/>
      <w:color w:val="000000"/>
      <w:sz w:val="26"/>
      <w:szCs w:val="26"/>
      <w:lang w:eastAsia="ru-RU"/>
    </w:rPr>
  </w:style>
  <w:style w:type="paragraph" w:customStyle="1" w:styleId="copyright">
    <w:name w:val="copyright"/>
    <w:basedOn w:val="a"/>
    <w:rsid w:val="00A46C7D"/>
    <w:pPr>
      <w:spacing w:before="15" w:after="15" w:line="240" w:lineRule="auto"/>
    </w:pPr>
    <w:rPr>
      <w:rFonts w:ascii="Verdana" w:eastAsia="Times New Roman" w:hAnsi="Verdana" w:cs="Arial"/>
      <w:color w:val="000000"/>
      <w:sz w:val="15"/>
      <w:szCs w:val="15"/>
      <w:lang w:eastAsia="ru-RU"/>
    </w:rPr>
  </w:style>
  <w:style w:type="paragraph" w:customStyle="1" w:styleId="printheaderdate">
    <w:name w:val="printheaderdate"/>
    <w:basedOn w:val="a"/>
    <w:rsid w:val="00A46C7D"/>
    <w:pPr>
      <w:spacing w:before="45" w:after="1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6.gif"/><Relationship Id="rId3" Type="http://schemas.openxmlformats.org/officeDocument/2006/relationships/webSettings" Target="webSettings.xml"/><Relationship Id="rId7" Type="http://schemas.openxmlformats.org/officeDocument/2006/relationships/hyperlink" Target="mailto:rg@rg.ru" TargetMode="External"/><Relationship Id="rId12" Type="http://schemas.openxmlformats.org/officeDocument/2006/relationships/hyperlink" Target="http://top.mail.ru/jump?from=1165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gif"/><Relationship Id="rId5" Type="http://schemas.openxmlformats.org/officeDocument/2006/relationships/image" Target="media/image1.gif"/><Relationship Id="rId15" Type="http://schemas.openxmlformats.org/officeDocument/2006/relationships/image" Target="media/image8.gif"/><Relationship Id="rId10" Type="http://schemas.openxmlformats.org/officeDocument/2006/relationships/image" Target="media/image4.gif"/><Relationship Id="rId4" Type="http://schemas.openxmlformats.org/officeDocument/2006/relationships/hyperlink" Target="http://www.rg.ru/" TargetMode="External"/><Relationship Id="rId9" Type="http://schemas.openxmlformats.org/officeDocument/2006/relationships/hyperlink" Target="http://top100.rambler.ru/home?id=250928" TargetMode="External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4296</Words>
  <Characters>24489</Characters>
  <Application>Microsoft Office Word</Application>
  <DocSecurity>0</DocSecurity>
  <Lines>204</Lines>
  <Paragraphs>57</Paragraphs>
  <ScaleCrop>false</ScaleCrop>
  <Company>МГЛУ</Company>
  <LinksUpToDate>false</LinksUpToDate>
  <CharactersWithSpaces>28728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Kasjuk</dc:creator>
  <cp:keywords/>
  <dc:description/>
  <cp:lastModifiedBy>Kasjuk</cp:lastModifiedBy>
  <cp:revision>1</cp:revision>
  <dcterms:created xsi:type="dcterms:W3CDTF">2014-06-16T07:13:00Z</dcterms:created>
  <dcterms:modified xsi:type="dcterms:W3CDTF">2014-06-16T07:14:00Z</dcterms:modified>
</cp:coreProperties>
</file>